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F75B" w14:textId="77777777" w:rsidR="00D84ECD" w:rsidRPr="00906D27" w:rsidRDefault="00D84ECD" w:rsidP="00D84ECD">
      <w:pPr>
        <w:pStyle w:val="Textoindependiente"/>
        <w:jc w:val="center"/>
        <w:rPr>
          <w:rFonts w:cstheme="minorHAnsi"/>
          <w:b/>
          <w:lang w:val="es-ES"/>
        </w:rPr>
      </w:pPr>
      <w:r w:rsidRPr="00906D27">
        <w:rPr>
          <w:rFonts w:cstheme="minorHAnsi"/>
          <w:b/>
          <w:lang w:val="es-ES"/>
        </w:rPr>
        <w:t xml:space="preserve">ANEXO III </w:t>
      </w:r>
      <w:bookmarkStart w:id="0" w:name="PROGRAMA"/>
      <w:bookmarkEnd w:id="0"/>
      <w:r w:rsidRPr="00906D27">
        <w:rPr>
          <w:rFonts w:cstheme="minorHAnsi"/>
          <w:b/>
          <w:lang w:val="es-ES"/>
        </w:rPr>
        <w:t>PROGRAMA</w:t>
      </w:r>
    </w:p>
    <w:p w14:paraId="18432B50" w14:textId="77777777" w:rsidR="00D84ECD" w:rsidRPr="00906D27" w:rsidRDefault="00D84ECD" w:rsidP="00D84ECD">
      <w:pPr>
        <w:pStyle w:val="Textoindependiente"/>
        <w:rPr>
          <w:rFonts w:cstheme="minorHAnsi"/>
          <w:b/>
          <w:lang w:val="es-ES"/>
        </w:rPr>
      </w:pPr>
    </w:p>
    <w:p w14:paraId="63E159F4" w14:textId="77777777" w:rsidR="00D84ECD" w:rsidRPr="00906D27" w:rsidRDefault="00D84ECD" w:rsidP="00D84ECD">
      <w:pPr>
        <w:pStyle w:val="Prrafodelista"/>
        <w:numPr>
          <w:ilvl w:val="0"/>
          <w:numId w:val="1"/>
        </w:numPr>
        <w:tabs>
          <w:tab w:val="left" w:pos="670"/>
        </w:tabs>
        <w:ind w:hanging="331"/>
        <w:rPr>
          <w:rFonts w:cstheme="minorHAnsi"/>
          <w:b/>
          <w:sz w:val="20"/>
          <w:szCs w:val="20"/>
        </w:rPr>
      </w:pPr>
      <w:r w:rsidRPr="00906D27">
        <w:rPr>
          <w:rFonts w:cstheme="minorHAnsi"/>
          <w:b/>
          <w:sz w:val="20"/>
          <w:szCs w:val="20"/>
        </w:rPr>
        <w:t>Parte</w:t>
      </w:r>
      <w:r w:rsidRPr="00906D27">
        <w:rPr>
          <w:rFonts w:cstheme="minorHAnsi"/>
          <w:b/>
          <w:spacing w:val="-8"/>
          <w:sz w:val="20"/>
          <w:szCs w:val="20"/>
        </w:rPr>
        <w:t xml:space="preserve"> </w:t>
      </w:r>
      <w:r w:rsidRPr="00906D27">
        <w:rPr>
          <w:rFonts w:cstheme="minorHAnsi"/>
          <w:b/>
          <w:sz w:val="20"/>
          <w:szCs w:val="20"/>
        </w:rPr>
        <w:t>general.</w:t>
      </w:r>
    </w:p>
    <w:p w14:paraId="5744C0D4" w14:textId="77777777" w:rsidR="00D84ECD" w:rsidRPr="00906D27" w:rsidRDefault="00D84ECD" w:rsidP="00D84ECD">
      <w:pPr>
        <w:pStyle w:val="Textoindependiente"/>
        <w:rPr>
          <w:rFonts w:cstheme="minorHAnsi"/>
          <w:b/>
          <w:lang w:val="es-ES"/>
        </w:rPr>
      </w:pPr>
    </w:p>
    <w:p w14:paraId="03A66108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699"/>
        </w:tabs>
        <w:ind w:right="121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La</w:t>
      </w:r>
      <w:r w:rsidRPr="00906D27">
        <w:rPr>
          <w:rFonts w:cstheme="minorHAnsi"/>
          <w:spacing w:val="-20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Constitución</w:t>
      </w:r>
      <w:r w:rsidRPr="00906D27">
        <w:rPr>
          <w:rFonts w:cstheme="minorHAnsi"/>
          <w:spacing w:val="-1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Española</w:t>
      </w:r>
      <w:r w:rsidRPr="00906D27">
        <w:rPr>
          <w:rFonts w:cstheme="minorHAnsi"/>
          <w:spacing w:val="-20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</w:t>
      </w:r>
      <w:r w:rsidRPr="00906D27">
        <w:rPr>
          <w:rFonts w:cstheme="minorHAnsi"/>
          <w:spacing w:val="-21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1978:</w:t>
      </w:r>
      <w:r w:rsidRPr="00906D27">
        <w:rPr>
          <w:rFonts w:cstheme="minorHAnsi"/>
          <w:spacing w:val="-17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Título</w:t>
      </w:r>
      <w:r w:rsidRPr="00906D27">
        <w:rPr>
          <w:rFonts w:cstheme="minorHAnsi"/>
          <w:spacing w:val="-21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preliminar.</w:t>
      </w:r>
      <w:r w:rsidRPr="00906D27">
        <w:rPr>
          <w:rFonts w:cstheme="minorHAnsi"/>
          <w:spacing w:val="-16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</w:t>
      </w:r>
      <w:r w:rsidRPr="00906D27">
        <w:rPr>
          <w:rFonts w:cstheme="minorHAnsi"/>
          <w:spacing w:val="-21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los</w:t>
      </w:r>
      <w:r w:rsidRPr="00906D27">
        <w:rPr>
          <w:rFonts w:cstheme="minorHAnsi"/>
          <w:spacing w:val="-18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derechos</w:t>
      </w:r>
      <w:r w:rsidRPr="00906D27">
        <w:rPr>
          <w:rFonts w:cstheme="minorHAnsi"/>
          <w:spacing w:val="-1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y</w:t>
      </w:r>
      <w:r w:rsidRPr="00906D27">
        <w:rPr>
          <w:rFonts w:cstheme="minorHAnsi"/>
          <w:spacing w:val="-18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deberes fundamentales: Derechos y Libertades. La organización territorial del</w:t>
      </w:r>
      <w:r w:rsidRPr="00906D27">
        <w:rPr>
          <w:rFonts w:cstheme="minorHAnsi"/>
          <w:spacing w:val="-27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Estado.</w:t>
      </w:r>
    </w:p>
    <w:p w14:paraId="20E5257B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699"/>
        </w:tabs>
        <w:ind w:right="120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Estatutos de la Universidad de Extremadura (I): Órganos de representación</w:t>
      </w:r>
      <w:r w:rsidRPr="00906D27">
        <w:rPr>
          <w:rFonts w:cstheme="minorHAnsi"/>
          <w:spacing w:val="-33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y gobierno.</w:t>
      </w:r>
    </w:p>
    <w:p w14:paraId="11DBB4A8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699"/>
        </w:tabs>
        <w:ind w:right="124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Estatutos de la Universidad de Extremadura (II): Centros propios, Departamentos,</w:t>
      </w:r>
      <w:r w:rsidRPr="00906D27">
        <w:rPr>
          <w:rFonts w:cstheme="minorHAnsi"/>
          <w:spacing w:val="-16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Institutos</w:t>
      </w:r>
      <w:r w:rsidRPr="00906D27">
        <w:rPr>
          <w:rFonts w:cstheme="minorHAnsi"/>
          <w:spacing w:val="-16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Universitarios</w:t>
      </w:r>
      <w:r w:rsidRPr="00906D27">
        <w:rPr>
          <w:rFonts w:cstheme="minorHAnsi"/>
          <w:spacing w:val="-18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</w:t>
      </w:r>
      <w:r w:rsidRPr="00906D27">
        <w:rPr>
          <w:rFonts w:cstheme="minorHAnsi"/>
          <w:spacing w:val="-14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Investigación</w:t>
      </w:r>
      <w:r w:rsidRPr="00906D27">
        <w:rPr>
          <w:rFonts w:cstheme="minorHAnsi"/>
          <w:spacing w:val="-16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y</w:t>
      </w:r>
      <w:r w:rsidRPr="00906D27">
        <w:rPr>
          <w:rFonts w:cstheme="minorHAnsi"/>
          <w:spacing w:val="-17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Centros</w:t>
      </w:r>
      <w:r w:rsidRPr="00906D27">
        <w:rPr>
          <w:rFonts w:cstheme="minorHAnsi"/>
          <w:spacing w:val="-18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Adscritos.</w:t>
      </w:r>
    </w:p>
    <w:p w14:paraId="34AE43C2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699"/>
        </w:tabs>
        <w:ind w:right="121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Estatutos de la Universidad de Extremadura (III): De los Servicios de la Universidad.</w:t>
      </w:r>
    </w:p>
    <w:p w14:paraId="1C6A4232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699"/>
        </w:tabs>
        <w:ind w:right="126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Ley 39/2015, de 1 de octubre, del Procedimiento Administrativo Común (I): Disposiciones sobre el procedimiento administrativo común: garantías del procedimiento, iniciación, ordenación, instrucción, y finalización del procedimiento. Ejecución del</w:t>
      </w:r>
      <w:r w:rsidRPr="00906D27">
        <w:rPr>
          <w:rFonts w:cstheme="minorHAnsi"/>
          <w:spacing w:val="-1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procedimiento.</w:t>
      </w:r>
    </w:p>
    <w:p w14:paraId="337A2E0A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28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Estatuto Básico del Empleado Público (I). Derechos y Deberes. Código de conducta de los Empleados</w:t>
      </w:r>
      <w:r w:rsidRPr="00906D27">
        <w:rPr>
          <w:rFonts w:cstheme="minorHAnsi"/>
          <w:spacing w:val="-13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Públicos.</w:t>
      </w:r>
    </w:p>
    <w:p w14:paraId="7145001C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24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Estatuto</w:t>
      </w:r>
      <w:r w:rsidRPr="00906D27">
        <w:rPr>
          <w:rFonts w:cstheme="minorHAnsi"/>
          <w:spacing w:val="-11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Básico</w:t>
      </w:r>
      <w:r w:rsidRPr="00906D27">
        <w:rPr>
          <w:rFonts w:cstheme="minorHAnsi"/>
          <w:spacing w:val="-12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del</w:t>
      </w:r>
      <w:r w:rsidRPr="00906D27">
        <w:rPr>
          <w:rFonts w:cstheme="minorHAnsi"/>
          <w:spacing w:val="-8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Empleado</w:t>
      </w:r>
      <w:r w:rsidRPr="00906D27">
        <w:rPr>
          <w:rFonts w:cstheme="minorHAnsi"/>
          <w:spacing w:val="-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Público</w:t>
      </w:r>
      <w:r w:rsidRPr="00906D27">
        <w:rPr>
          <w:rFonts w:cstheme="minorHAnsi"/>
          <w:spacing w:val="-12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(II).</w:t>
      </w:r>
      <w:r w:rsidRPr="00906D27">
        <w:rPr>
          <w:rFonts w:cstheme="minorHAnsi"/>
          <w:spacing w:val="-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Adquisición</w:t>
      </w:r>
      <w:r w:rsidRPr="00906D27">
        <w:rPr>
          <w:rFonts w:cstheme="minorHAnsi"/>
          <w:spacing w:val="-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y</w:t>
      </w:r>
      <w:r w:rsidRPr="00906D27">
        <w:rPr>
          <w:rFonts w:cstheme="minorHAnsi"/>
          <w:spacing w:val="-11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pérdida</w:t>
      </w:r>
      <w:r w:rsidRPr="00906D27">
        <w:rPr>
          <w:rFonts w:cstheme="minorHAnsi"/>
          <w:spacing w:val="-10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de</w:t>
      </w:r>
      <w:r w:rsidRPr="00906D27">
        <w:rPr>
          <w:rFonts w:cstheme="minorHAnsi"/>
          <w:spacing w:val="-12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la</w:t>
      </w:r>
      <w:r w:rsidRPr="00906D27">
        <w:rPr>
          <w:rFonts w:cstheme="minorHAnsi"/>
          <w:spacing w:val="-10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relación de servicio. Ordenación de la actividad</w:t>
      </w:r>
      <w:r w:rsidRPr="00906D27">
        <w:rPr>
          <w:rFonts w:cstheme="minorHAnsi"/>
          <w:spacing w:val="-13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profesional.</w:t>
      </w:r>
    </w:p>
    <w:p w14:paraId="7F222123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17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Estatuto Básico del Empleado Público (III). Situaciones administrativas. Régimen</w:t>
      </w:r>
      <w:r w:rsidRPr="00906D27">
        <w:rPr>
          <w:rFonts w:cstheme="minorHAnsi"/>
          <w:spacing w:val="-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disciplinario.</w:t>
      </w:r>
    </w:p>
    <w:p w14:paraId="5B5E3C5E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21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Acuerdo Regulador de las Condiciones de Trabajo del Personal funcionario de Administración y Servicios de la Universidad de Extremadura (I): Ingreso, provisión de puestos de trabajo y cobertura</w:t>
      </w:r>
      <w:r w:rsidRPr="00906D27">
        <w:rPr>
          <w:rFonts w:cstheme="minorHAnsi"/>
          <w:spacing w:val="-16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temporal.</w:t>
      </w:r>
    </w:p>
    <w:p w14:paraId="493EB757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22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 xml:space="preserve">Acuerdo Regulador de las Condiciones de Trabajo del Personal funcionario de Administración y Servicios de </w:t>
      </w:r>
      <w:r w:rsidRPr="00906D27">
        <w:rPr>
          <w:rFonts w:cstheme="minorHAnsi"/>
          <w:spacing w:val="2"/>
          <w:sz w:val="20"/>
          <w:szCs w:val="20"/>
        </w:rPr>
        <w:t xml:space="preserve">la </w:t>
      </w:r>
      <w:r w:rsidRPr="00906D27">
        <w:rPr>
          <w:rFonts w:cstheme="minorHAnsi"/>
          <w:sz w:val="20"/>
          <w:szCs w:val="20"/>
        </w:rPr>
        <w:t>Universidad de Extremadura (II): Jornada y régimen de</w:t>
      </w:r>
      <w:r w:rsidRPr="00906D27">
        <w:rPr>
          <w:rFonts w:cstheme="minorHAnsi"/>
          <w:spacing w:val="-9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trabajo.</w:t>
      </w:r>
    </w:p>
    <w:p w14:paraId="060C729B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26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Acuerdo Regulador de las Condiciones de Trabajo del Personal funcionario de Administración y Servicios de la Universidad de Extremadura (III): Vacaciones, permisos y</w:t>
      </w:r>
      <w:r w:rsidRPr="00906D27">
        <w:rPr>
          <w:rFonts w:cstheme="minorHAnsi"/>
          <w:spacing w:val="-8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licencias.</w:t>
      </w:r>
    </w:p>
    <w:p w14:paraId="26954A4D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730"/>
        </w:tabs>
        <w:ind w:left="730" w:right="126"/>
        <w:jc w:val="both"/>
        <w:rPr>
          <w:rFonts w:cstheme="minorHAnsi"/>
          <w:sz w:val="20"/>
          <w:szCs w:val="20"/>
        </w:rPr>
      </w:pPr>
      <w:r w:rsidRPr="00906D27">
        <w:rPr>
          <w:rFonts w:cstheme="minorHAnsi"/>
          <w:sz w:val="20"/>
          <w:szCs w:val="20"/>
        </w:rPr>
        <w:t>Ley de Prevención de Riesgos Laborales: Objeto, ámbito de aplicación y definiciones. Derechos y obligaciones. Consulta y participación de los trabajadores. Servicios de</w:t>
      </w:r>
      <w:r w:rsidRPr="00906D27">
        <w:rPr>
          <w:rFonts w:cstheme="minorHAnsi"/>
          <w:spacing w:val="-15"/>
          <w:sz w:val="20"/>
          <w:szCs w:val="20"/>
        </w:rPr>
        <w:t xml:space="preserve"> </w:t>
      </w:r>
      <w:r w:rsidRPr="00906D27">
        <w:rPr>
          <w:rFonts w:cstheme="minorHAnsi"/>
          <w:sz w:val="20"/>
          <w:szCs w:val="20"/>
        </w:rPr>
        <w:t>Prevención.</w:t>
      </w:r>
    </w:p>
    <w:p w14:paraId="485022F8" w14:textId="77777777" w:rsidR="00D84ECD" w:rsidRPr="00906D27" w:rsidRDefault="00D84ECD" w:rsidP="00D84ECD">
      <w:pPr>
        <w:tabs>
          <w:tab w:val="left" w:pos="0"/>
          <w:tab w:val="left" w:pos="339"/>
          <w:tab w:val="left" w:pos="566"/>
          <w:tab w:val="left" w:pos="849"/>
          <w:tab w:val="left" w:pos="1360"/>
          <w:tab w:val="left" w:pos="1814"/>
          <w:tab w:val="left" w:pos="2268"/>
          <w:tab w:val="left" w:pos="2721"/>
          <w:tab w:val="left" w:pos="3175"/>
          <w:tab w:val="left" w:pos="3627"/>
          <w:tab w:val="left" w:pos="4081"/>
          <w:tab w:val="left" w:pos="4534"/>
          <w:tab w:val="left" w:pos="4988"/>
          <w:tab w:val="left" w:pos="5442"/>
          <w:tab w:val="left" w:pos="5895"/>
          <w:tab w:val="left" w:pos="6349"/>
          <w:tab w:val="left" w:pos="6802"/>
          <w:tab w:val="left" w:pos="7256"/>
          <w:tab w:val="left" w:pos="7710"/>
        </w:tabs>
        <w:jc w:val="center"/>
        <w:outlineLvl w:val="0"/>
        <w:rPr>
          <w:b/>
          <w:bCs/>
          <w:sz w:val="20"/>
          <w:szCs w:val="20"/>
          <w:lang w:val="es-ES"/>
        </w:rPr>
      </w:pPr>
    </w:p>
    <w:p w14:paraId="455A6A5F" w14:textId="77777777" w:rsidR="00D84ECD" w:rsidRPr="00906D27" w:rsidRDefault="00D84ECD" w:rsidP="00D84ECD">
      <w:pPr>
        <w:pStyle w:val="Prrafodelista"/>
        <w:numPr>
          <w:ilvl w:val="0"/>
          <w:numId w:val="1"/>
        </w:numPr>
        <w:tabs>
          <w:tab w:val="left" w:pos="0"/>
          <w:tab w:val="left" w:pos="339"/>
          <w:tab w:val="left" w:pos="566"/>
          <w:tab w:val="left" w:pos="849"/>
          <w:tab w:val="left" w:pos="1360"/>
          <w:tab w:val="left" w:pos="1814"/>
          <w:tab w:val="left" w:pos="2268"/>
          <w:tab w:val="left" w:pos="2721"/>
          <w:tab w:val="left" w:pos="3175"/>
          <w:tab w:val="left" w:pos="3627"/>
          <w:tab w:val="left" w:pos="4081"/>
          <w:tab w:val="left" w:pos="4534"/>
          <w:tab w:val="left" w:pos="4988"/>
          <w:tab w:val="left" w:pos="5442"/>
          <w:tab w:val="left" w:pos="5895"/>
          <w:tab w:val="left" w:pos="6349"/>
          <w:tab w:val="left" w:pos="6802"/>
          <w:tab w:val="left" w:pos="7256"/>
          <w:tab w:val="left" w:pos="7710"/>
        </w:tabs>
        <w:contextualSpacing w:val="0"/>
        <w:outlineLvl w:val="0"/>
        <w:rPr>
          <w:b/>
          <w:bCs/>
          <w:sz w:val="20"/>
          <w:szCs w:val="20"/>
          <w:lang w:val="es-ES"/>
        </w:rPr>
      </w:pPr>
      <w:r w:rsidRPr="00906D27">
        <w:rPr>
          <w:b/>
          <w:bCs/>
          <w:sz w:val="20"/>
          <w:szCs w:val="20"/>
          <w:lang w:val="es-ES"/>
        </w:rPr>
        <w:t>Parte específica: Gestión de la Investigación</w:t>
      </w:r>
    </w:p>
    <w:p w14:paraId="38AF9607" w14:textId="77777777" w:rsidR="00D84ECD" w:rsidRPr="00906D27" w:rsidRDefault="00D84ECD" w:rsidP="00D84ECD">
      <w:pPr>
        <w:pStyle w:val="Prrafodelista"/>
        <w:tabs>
          <w:tab w:val="left" w:pos="699"/>
        </w:tabs>
        <w:ind w:right="121"/>
        <w:rPr>
          <w:sz w:val="20"/>
          <w:szCs w:val="20"/>
        </w:rPr>
      </w:pPr>
    </w:p>
    <w:p w14:paraId="431B6A60" w14:textId="77777777" w:rsidR="00D84ECD" w:rsidRPr="00906D27" w:rsidRDefault="00D84ECD" w:rsidP="00D84ECD">
      <w:pPr>
        <w:pStyle w:val="Prrafodelista"/>
        <w:tabs>
          <w:tab w:val="left" w:pos="0"/>
        </w:tabs>
        <w:ind w:left="0" w:right="121"/>
        <w:rPr>
          <w:b/>
          <w:sz w:val="20"/>
          <w:szCs w:val="20"/>
        </w:rPr>
      </w:pPr>
      <w:r w:rsidRPr="00906D27">
        <w:rPr>
          <w:b/>
          <w:sz w:val="20"/>
          <w:szCs w:val="20"/>
        </w:rPr>
        <w:t>Bloque I. Gestión y Transferencia de Resultados de la Investigación en la Universidad de Extremadura</w:t>
      </w:r>
    </w:p>
    <w:p w14:paraId="0DCCCAEE" w14:textId="77777777" w:rsidR="00D84ECD" w:rsidRPr="00906D27" w:rsidRDefault="00D84ECD" w:rsidP="00D84ECD">
      <w:pPr>
        <w:pStyle w:val="Prrafodelista"/>
        <w:tabs>
          <w:tab w:val="left" w:pos="699"/>
        </w:tabs>
        <w:ind w:right="121"/>
        <w:rPr>
          <w:b/>
          <w:sz w:val="20"/>
          <w:szCs w:val="20"/>
        </w:rPr>
      </w:pPr>
    </w:p>
    <w:p w14:paraId="0491CF13" w14:textId="77777777" w:rsidR="00D84ECD" w:rsidRPr="00906D27" w:rsidRDefault="00D84ECD" w:rsidP="00D84ECD">
      <w:pPr>
        <w:pStyle w:val="Prrafodelista"/>
        <w:numPr>
          <w:ilvl w:val="0"/>
          <w:numId w:val="2"/>
        </w:numPr>
        <w:tabs>
          <w:tab w:val="left" w:pos="699"/>
        </w:tabs>
        <w:ind w:right="121"/>
        <w:jc w:val="both"/>
        <w:rPr>
          <w:sz w:val="20"/>
          <w:szCs w:val="20"/>
        </w:rPr>
      </w:pPr>
      <w:r w:rsidRPr="00906D27">
        <w:rPr>
          <w:sz w:val="20"/>
          <w:szCs w:val="20"/>
        </w:rPr>
        <w:t>Estatutos de la Universidad de Extremadura: De los Institutos Universitarios de Investigación. De los Servicios de la Universidad: Servicios de apoyo a la docencia y a la investigación. Docencia e Investigación: De la Investigación.</w:t>
      </w:r>
    </w:p>
    <w:p w14:paraId="68C1D1BC" w14:textId="77777777" w:rsidR="00D84ECD" w:rsidRPr="00906D27" w:rsidRDefault="00D84ECD" w:rsidP="00D84ECD">
      <w:pPr>
        <w:pStyle w:val="Prrafodelista"/>
        <w:tabs>
          <w:tab w:val="left" w:pos="699"/>
        </w:tabs>
        <w:ind w:right="121"/>
        <w:rPr>
          <w:sz w:val="20"/>
          <w:szCs w:val="20"/>
        </w:rPr>
      </w:pPr>
    </w:p>
    <w:p w14:paraId="6E97FE39" w14:textId="464584FA" w:rsidR="00D84ECD" w:rsidRPr="00095C0F" w:rsidRDefault="00D84ECD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095C0F">
        <w:rPr>
          <w:sz w:val="20"/>
          <w:szCs w:val="20"/>
        </w:rPr>
        <w:t>Plan Propio de Iniciación a la Investigación, Desarrollo Tecnológico e Innovación.  Universidad de Extremadura. Acciones</w:t>
      </w:r>
      <w:r w:rsidR="00AA2401" w:rsidRPr="00095C0F">
        <w:rPr>
          <w:sz w:val="20"/>
          <w:szCs w:val="20"/>
        </w:rPr>
        <w:t xml:space="preserve"> II, III,</w:t>
      </w:r>
      <w:r w:rsidRPr="00095C0F">
        <w:rPr>
          <w:sz w:val="20"/>
          <w:szCs w:val="20"/>
        </w:rPr>
        <w:t xml:space="preserve"> V</w:t>
      </w:r>
      <w:r w:rsidR="00AA2401" w:rsidRPr="00095C0F">
        <w:rPr>
          <w:sz w:val="20"/>
          <w:szCs w:val="20"/>
        </w:rPr>
        <w:t xml:space="preserve"> y VI</w:t>
      </w:r>
      <w:r w:rsidRPr="00095C0F">
        <w:rPr>
          <w:sz w:val="20"/>
          <w:szCs w:val="20"/>
        </w:rPr>
        <w:t xml:space="preserve"> Convocatoria 202</w:t>
      </w:r>
      <w:r w:rsidR="00AA2401" w:rsidRPr="00095C0F">
        <w:rPr>
          <w:sz w:val="20"/>
          <w:szCs w:val="20"/>
        </w:rPr>
        <w:t>3</w:t>
      </w:r>
      <w:r w:rsidRPr="00095C0F">
        <w:rPr>
          <w:sz w:val="20"/>
          <w:szCs w:val="20"/>
        </w:rPr>
        <w:t>.</w:t>
      </w:r>
    </w:p>
    <w:p w14:paraId="56E09A96" w14:textId="77777777" w:rsidR="00AA2401" w:rsidRDefault="00AA2401" w:rsidP="00AA2401">
      <w:pPr>
        <w:pStyle w:val="Prrafodelista"/>
        <w:rPr>
          <w:sz w:val="20"/>
          <w:szCs w:val="20"/>
          <w:highlight w:val="yellow"/>
        </w:rPr>
      </w:pPr>
    </w:p>
    <w:p w14:paraId="6EC356AA" w14:textId="77777777" w:rsidR="00AA2401" w:rsidRPr="00245FB5" w:rsidRDefault="00AA2401" w:rsidP="00AA2401">
      <w:pPr>
        <w:ind w:left="785"/>
        <w:jc w:val="both"/>
        <w:rPr>
          <w:sz w:val="20"/>
          <w:szCs w:val="20"/>
          <w:highlight w:val="yellow"/>
        </w:rPr>
      </w:pPr>
    </w:p>
    <w:p w14:paraId="30758253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906D27">
        <w:rPr>
          <w:sz w:val="20"/>
          <w:szCs w:val="20"/>
        </w:rPr>
        <w:t>Normativa de la Universidad de Extremadura para celebrar contratos o convenios con personas, universidades o entidades públicas o privadas para la realización de trabajos de carácter científico, técnico o artístico, así como para el desarrollo de enseñanzas de especialización o actividades específicas de formación.</w:t>
      </w:r>
    </w:p>
    <w:p w14:paraId="27157109" w14:textId="77777777" w:rsidR="00D84ECD" w:rsidRPr="00906D27" w:rsidRDefault="00D84ECD" w:rsidP="00D84ECD">
      <w:pPr>
        <w:ind w:left="720"/>
        <w:jc w:val="both"/>
        <w:rPr>
          <w:sz w:val="20"/>
          <w:szCs w:val="20"/>
        </w:rPr>
      </w:pPr>
    </w:p>
    <w:p w14:paraId="7C9E39A9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906D27">
        <w:rPr>
          <w:sz w:val="20"/>
          <w:szCs w:val="20"/>
        </w:rPr>
        <w:t>Normativa para la creación de cátedras y aulas de patrocinio de la Universidad de Extremadura: Sobre la creación de cátedras y aulas de patrocinio. Sobre el régimen económico.</w:t>
      </w:r>
    </w:p>
    <w:p w14:paraId="5D170EF7" w14:textId="77777777" w:rsidR="00D84ECD" w:rsidRPr="00906D27" w:rsidRDefault="00D84ECD" w:rsidP="00D84ECD">
      <w:pPr>
        <w:pStyle w:val="Prrafodelista"/>
        <w:rPr>
          <w:sz w:val="20"/>
          <w:szCs w:val="20"/>
        </w:rPr>
      </w:pPr>
    </w:p>
    <w:p w14:paraId="58A5FC43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906D27">
        <w:rPr>
          <w:sz w:val="20"/>
          <w:szCs w:val="20"/>
        </w:rPr>
        <w:t xml:space="preserve">Ley 24/2015, de 14 de julio, de Patentes (I): Disposiciones Preliminares. Patentabilidad. Derecho a la patente y designación de inventor. Invenciones realizadas en el marco de una relación de empleo o de servicios. Presentación y requisitos de la solicitud de patente. Procedimiento de concesión. </w:t>
      </w:r>
    </w:p>
    <w:p w14:paraId="72CB6AB5" w14:textId="77777777" w:rsidR="00D84ECD" w:rsidRPr="00906D27" w:rsidRDefault="00D84ECD" w:rsidP="00D84ECD">
      <w:pPr>
        <w:ind w:left="720"/>
        <w:jc w:val="both"/>
        <w:rPr>
          <w:sz w:val="20"/>
          <w:szCs w:val="20"/>
        </w:rPr>
      </w:pPr>
    </w:p>
    <w:p w14:paraId="00C98FD4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906D27">
        <w:rPr>
          <w:sz w:val="20"/>
          <w:szCs w:val="20"/>
        </w:rPr>
        <w:t>Ley 24/2015, de Patentes (II): Transferencias, Licencias y Gravámenes. Licencias de pleno derecho. Caducidad. Modelos de utilidad: Objeto y requisitos de protección. Solicitud y procedimiento de concesión. Efectos de la concesión.</w:t>
      </w:r>
    </w:p>
    <w:p w14:paraId="4F9F650C" w14:textId="77777777" w:rsidR="00D84ECD" w:rsidRPr="00906D27" w:rsidRDefault="00D84ECD" w:rsidP="00D84ECD">
      <w:pPr>
        <w:ind w:left="720"/>
        <w:jc w:val="both"/>
        <w:rPr>
          <w:sz w:val="20"/>
          <w:szCs w:val="20"/>
        </w:rPr>
      </w:pPr>
    </w:p>
    <w:p w14:paraId="30F45D92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906D27">
        <w:rPr>
          <w:sz w:val="20"/>
          <w:szCs w:val="20"/>
        </w:rPr>
        <w:t xml:space="preserve">Real Decreto Legislativo 1/1996, de 12 de abril, por el que se aprueba el texto refundido de la Ley de Propiedad Intelectual: Libro Primero: Título I. Disposiciones generales. Título II: Sujetos. Objeto. Título VII: Programas de ordenador. </w:t>
      </w:r>
    </w:p>
    <w:p w14:paraId="29B671AC" w14:textId="77777777" w:rsidR="00D84ECD" w:rsidRPr="00906D27" w:rsidRDefault="00D84ECD" w:rsidP="00D84ECD">
      <w:pPr>
        <w:pStyle w:val="Prrafodelista"/>
        <w:rPr>
          <w:sz w:val="20"/>
          <w:szCs w:val="20"/>
        </w:rPr>
      </w:pPr>
    </w:p>
    <w:p w14:paraId="57339FD6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trike/>
          <w:sz w:val="20"/>
          <w:szCs w:val="20"/>
        </w:rPr>
      </w:pPr>
      <w:r w:rsidRPr="00906D27">
        <w:rPr>
          <w:sz w:val="20"/>
          <w:szCs w:val="20"/>
        </w:rPr>
        <w:t xml:space="preserve">Reglamento de Creación de empresas Spin-Off en la Universidad de Extremadura: Ámbito de aplicación. Procedimiento para la creación de empresas. Régimen de participación del personal de la Universidad de Extremadura. Relaciones ente la Spin-Off y la </w:t>
      </w:r>
      <w:proofErr w:type="spellStart"/>
      <w:r w:rsidRPr="00906D27">
        <w:rPr>
          <w:sz w:val="20"/>
          <w:szCs w:val="20"/>
        </w:rPr>
        <w:t>UEx</w:t>
      </w:r>
      <w:proofErr w:type="spellEnd"/>
      <w:r w:rsidRPr="00906D27">
        <w:rPr>
          <w:sz w:val="20"/>
          <w:szCs w:val="20"/>
        </w:rPr>
        <w:t>.</w:t>
      </w:r>
    </w:p>
    <w:p w14:paraId="7287B21A" w14:textId="77777777" w:rsidR="00D84ECD" w:rsidRPr="00906D27" w:rsidRDefault="00D84ECD" w:rsidP="00D84ECD">
      <w:pPr>
        <w:pStyle w:val="Prrafodelista"/>
        <w:tabs>
          <w:tab w:val="left" w:pos="699"/>
        </w:tabs>
        <w:ind w:right="121"/>
        <w:rPr>
          <w:sz w:val="20"/>
          <w:szCs w:val="20"/>
        </w:rPr>
      </w:pPr>
    </w:p>
    <w:p w14:paraId="5AC875B9" w14:textId="77777777" w:rsidR="00D84ECD" w:rsidRPr="00906D27" w:rsidRDefault="00D84ECD" w:rsidP="00D84ECD">
      <w:pPr>
        <w:pStyle w:val="Prrafodelista"/>
        <w:tabs>
          <w:tab w:val="left" w:pos="0"/>
        </w:tabs>
        <w:ind w:left="0" w:right="121"/>
        <w:rPr>
          <w:b/>
          <w:sz w:val="20"/>
          <w:szCs w:val="20"/>
        </w:rPr>
      </w:pPr>
      <w:r w:rsidRPr="00906D27">
        <w:rPr>
          <w:b/>
          <w:sz w:val="20"/>
          <w:szCs w:val="20"/>
        </w:rPr>
        <w:t>Bloque II. Gestión de Programas de Investigación Estatales y Regionales.</w:t>
      </w:r>
    </w:p>
    <w:p w14:paraId="08EB097F" w14:textId="77777777" w:rsidR="00CA25DD" w:rsidRPr="00AC011A" w:rsidRDefault="00CA25DD" w:rsidP="00AC011A">
      <w:pPr>
        <w:tabs>
          <w:tab w:val="left" w:pos="699"/>
        </w:tabs>
        <w:ind w:right="121"/>
        <w:jc w:val="both"/>
        <w:rPr>
          <w:color w:val="FF0000"/>
          <w:sz w:val="20"/>
          <w:szCs w:val="20"/>
        </w:rPr>
      </w:pPr>
    </w:p>
    <w:p w14:paraId="67EF6EFC" w14:textId="301F4ED8" w:rsidR="00DB113D" w:rsidRPr="000001D3" w:rsidRDefault="00DB113D" w:rsidP="00DB113D">
      <w:pPr>
        <w:pStyle w:val="Prrafodelista"/>
        <w:numPr>
          <w:ilvl w:val="0"/>
          <w:numId w:val="2"/>
        </w:numPr>
        <w:tabs>
          <w:tab w:val="left" w:pos="699"/>
        </w:tabs>
        <w:ind w:right="121"/>
        <w:jc w:val="both"/>
        <w:rPr>
          <w:sz w:val="20"/>
          <w:szCs w:val="20"/>
        </w:rPr>
      </w:pPr>
      <w:r w:rsidRPr="000001D3">
        <w:rPr>
          <w:sz w:val="20"/>
          <w:szCs w:val="20"/>
        </w:rPr>
        <w:t>Ley Orgánica 2/2023, de 22 de marzo, del Sistema Universitario</w:t>
      </w:r>
      <w:r w:rsidR="00666AFD" w:rsidRPr="000001D3">
        <w:rPr>
          <w:sz w:val="20"/>
          <w:szCs w:val="20"/>
        </w:rPr>
        <w:t>. Título IV. Investigación y transferencia e intercambio del conocimiento e innovación.</w:t>
      </w:r>
      <w:r w:rsidR="00C37754" w:rsidRPr="000001D3">
        <w:rPr>
          <w:sz w:val="20"/>
          <w:szCs w:val="20"/>
        </w:rPr>
        <w:t xml:space="preserve"> Título IX:</w:t>
      </w:r>
      <w:r w:rsidR="000001D3" w:rsidRPr="000001D3">
        <w:rPr>
          <w:sz w:val="20"/>
          <w:szCs w:val="20"/>
        </w:rPr>
        <w:t xml:space="preserve"> </w:t>
      </w:r>
      <w:r w:rsidR="00C37754" w:rsidRPr="000001D3">
        <w:rPr>
          <w:sz w:val="20"/>
          <w:szCs w:val="20"/>
        </w:rPr>
        <w:t>Capítulo IV. Personal docente e investigador de las Universidades públicas.</w:t>
      </w:r>
    </w:p>
    <w:p w14:paraId="558699C0" w14:textId="77777777" w:rsidR="00D84ECD" w:rsidRPr="00906D27" w:rsidRDefault="00D84ECD" w:rsidP="00D84ECD">
      <w:pPr>
        <w:pStyle w:val="Prrafodelista"/>
        <w:tabs>
          <w:tab w:val="left" w:pos="699"/>
        </w:tabs>
        <w:ind w:left="698" w:right="121"/>
        <w:rPr>
          <w:b/>
          <w:sz w:val="20"/>
          <w:szCs w:val="20"/>
        </w:rPr>
      </w:pPr>
    </w:p>
    <w:p w14:paraId="27C54394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strike/>
          <w:sz w:val="20"/>
          <w:szCs w:val="20"/>
        </w:rPr>
      </w:pPr>
      <w:r w:rsidRPr="00906D27">
        <w:rPr>
          <w:sz w:val="20"/>
          <w:szCs w:val="20"/>
        </w:rPr>
        <w:t xml:space="preserve">Ley 38/2003, de 17 de noviembre, General de Subvenciones. Concepto de Subvención. Obligaciones de los beneficiarios. Procedimientos de concesión y gestión de subvenciones. </w:t>
      </w:r>
    </w:p>
    <w:p w14:paraId="55BE3CA9" w14:textId="77777777" w:rsidR="00D84ECD" w:rsidRPr="00906D27" w:rsidRDefault="00D84ECD" w:rsidP="00D84ECD">
      <w:pPr>
        <w:ind w:left="720"/>
        <w:jc w:val="both"/>
        <w:rPr>
          <w:strike/>
          <w:sz w:val="20"/>
          <w:szCs w:val="20"/>
        </w:rPr>
      </w:pPr>
    </w:p>
    <w:p w14:paraId="7E2A0C90" w14:textId="77777777" w:rsidR="00D84ECD" w:rsidRPr="00936F0F" w:rsidRDefault="00D84ECD" w:rsidP="00D84ECD">
      <w:pPr>
        <w:numPr>
          <w:ilvl w:val="0"/>
          <w:numId w:val="2"/>
        </w:numPr>
        <w:jc w:val="both"/>
        <w:rPr>
          <w:strike/>
          <w:sz w:val="20"/>
          <w:szCs w:val="20"/>
        </w:rPr>
      </w:pPr>
      <w:r w:rsidRPr="00906D27">
        <w:rPr>
          <w:sz w:val="20"/>
          <w:szCs w:val="20"/>
        </w:rPr>
        <w:t>Real Decreto 887/2006, de 21 de julio, por el que se aprueba el Reglamento de la Ley 38/2003, de 17 de noviembre, General de Subvenciones. Justificación de Subvenciones: Disposiciones Generales. De la cuenta Justificativa. Del Reintegro. Procedimiento sancionador.</w:t>
      </w:r>
    </w:p>
    <w:p w14:paraId="1FABA557" w14:textId="77777777" w:rsidR="00936F0F" w:rsidRPr="004960B5" w:rsidRDefault="00936F0F" w:rsidP="00936F0F">
      <w:pPr>
        <w:pStyle w:val="Prrafodelista"/>
        <w:rPr>
          <w:sz w:val="20"/>
          <w:szCs w:val="20"/>
        </w:rPr>
      </w:pPr>
    </w:p>
    <w:p w14:paraId="3B9D6154" w14:textId="69048AB4" w:rsidR="00936F0F" w:rsidRPr="004960B5" w:rsidRDefault="004960B5" w:rsidP="00D84ECD">
      <w:pPr>
        <w:numPr>
          <w:ilvl w:val="0"/>
          <w:numId w:val="2"/>
        </w:numPr>
        <w:jc w:val="both"/>
        <w:rPr>
          <w:sz w:val="20"/>
          <w:szCs w:val="20"/>
        </w:rPr>
      </w:pPr>
      <w:r w:rsidRPr="004960B5">
        <w:rPr>
          <w:sz w:val="20"/>
          <w:szCs w:val="20"/>
        </w:rPr>
        <w:t>Orden CIN/1025/2022, de 27 de octubre, 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</w:t>
      </w:r>
      <w:r w:rsidR="00045B83">
        <w:rPr>
          <w:sz w:val="20"/>
          <w:szCs w:val="20"/>
        </w:rPr>
        <w:t>. Capítulos I y II</w:t>
      </w:r>
    </w:p>
    <w:p w14:paraId="232D932B" w14:textId="77777777" w:rsidR="004960B5" w:rsidRPr="004960B5" w:rsidRDefault="004960B5" w:rsidP="004960B5">
      <w:pPr>
        <w:pStyle w:val="Prrafodelista"/>
        <w:rPr>
          <w:sz w:val="20"/>
          <w:szCs w:val="20"/>
        </w:rPr>
      </w:pPr>
    </w:p>
    <w:p w14:paraId="141C28A5" w14:textId="7C74617F" w:rsidR="004960B5" w:rsidRDefault="004960B5" w:rsidP="004960B5">
      <w:pPr>
        <w:numPr>
          <w:ilvl w:val="0"/>
          <w:numId w:val="2"/>
        </w:numPr>
        <w:jc w:val="both"/>
        <w:rPr>
          <w:sz w:val="20"/>
          <w:szCs w:val="20"/>
        </w:rPr>
      </w:pPr>
      <w:r w:rsidRPr="004960B5">
        <w:rPr>
          <w:sz w:val="20"/>
          <w:szCs w:val="20"/>
        </w:rPr>
        <w:t>Orden CIN/1025/2022, de 27 de octubre, 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</w:t>
      </w:r>
      <w:r w:rsidR="00045B83">
        <w:rPr>
          <w:sz w:val="20"/>
          <w:szCs w:val="20"/>
        </w:rPr>
        <w:t>.</w:t>
      </w:r>
      <w:r w:rsidR="00C70382">
        <w:rPr>
          <w:sz w:val="20"/>
          <w:szCs w:val="20"/>
        </w:rPr>
        <w:t xml:space="preserve"> Capítulos III y IV</w:t>
      </w:r>
    </w:p>
    <w:p w14:paraId="7479900A" w14:textId="77777777" w:rsidR="00045B83" w:rsidRPr="004960B5" w:rsidRDefault="00045B83" w:rsidP="00045B83">
      <w:pPr>
        <w:jc w:val="both"/>
        <w:rPr>
          <w:sz w:val="20"/>
          <w:szCs w:val="20"/>
        </w:rPr>
      </w:pPr>
    </w:p>
    <w:p w14:paraId="0717697E" w14:textId="2A53D556" w:rsidR="00D84ECD" w:rsidRDefault="004960B5" w:rsidP="00AC011A">
      <w:pPr>
        <w:numPr>
          <w:ilvl w:val="0"/>
          <w:numId w:val="2"/>
        </w:numPr>
        <w:jc w:val="both"/>
        <w:rPr>
          <w:sz w:val="20"/>
          <w:szCs w:val="20"/>
        </w:rPr>
      </w:pPr>
      <w:r w:rsidRPr="004960B5">
        <w:rPr>
          <w:sz w:val="20"/>
          <w:szCs w:val="20"/>
        </w:rPr>
        <w:t>Orden CIN/1025/2022, de 27 de octubre, por la que se aprueban las bases reguladoras para la concesión de ayudas públicas correspondientes a varios programas y subprogramas del Plan Estatal de Investigación Científica y Técnica y de Innovación 2021-2023, cuya gestión corresponde a la Agencia Estatal de Investigación</w:t>
      </w:r>
      <w:r w:rsidR="00C70382">
        <w:rPr>
          <w:sz w:val="20"/>
          <w:szCs w:val="20"/>
        </w:rPr>
        <w:t xml:space="preserve">. </w:t>
      </w:r>
      <w:r w:rsidR="00E5593B">
        <w:rPr>
          <w:sz w:val="20"/>
          <w:szCs w:val="20"/>
        </w:rPr>
        <w:t>Capítulo VI</w:t>
      </w:r>
    </w:p>
    <w:p w14:paraId="407D89A5" w14:textId="77777777" w:rsidR="00AC011A" w:rsidRDefault="00AC011A" w:rsidP="00AC011A">
      <w:pPr>
        <w:pStyle w:val="Prrafodelista"/>
        <w:rPr>
          <w:sz w:val="20"/>
          <w:szCs w:val="20"/>
        </w:rPr>
      </w:pPr>
    </w:p>
    <w:p w14:paraId="4D047EB3" w14:textId="77777777" w:rsidR="00AC011A" w:rsidRPr="00AC011A" w:rsidRDefault="00AC011A" w:rsidP="00AC011A">
      <w:pPr>
        <w:ind w:left="360"/>
        <w:jc w:val="both"/>
        <w:rPr>
          <w:sz w:val="20"/>
          <w:szCs w:val="20"/>
        </w:rPr>
      </w:pPr>
    </w:p>
    <w:p w14:paraId="2836BB26" w14:textId="77777777" w:rsidR="00D84ECD" w:rsidRPr="00906D27" w:rsidRDefault="00D84ECD" w:rsidP="00D84ECD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906D27">
        <w:rPr>
          <w:sz w:val="20"/>
          <w:szCs w:val="20"/>
        </w:rPr>
        <w:t xml:space="preserve">Decreto 146/2018, de 4 de septiembre, por el que se regula y actualiza el Catálogo de Grupos de Investigación de Extremadura y el </w:t>
      </w:r>
      <w:proofErr w:type="spellStart"/>
      <w:r w:rsidRPr="00906D27">
        <w:rPr>
          <w:sz w:val="20"/>
          <w:szCs w:val="20"/>
        </w:rPr>
        <w:t>Curriculum</w:t>
      </w:r>
      <w:proofErr w:type="spellEnd"/>
      <w:r w:rsidRPr="00906D27">
        <w:rPr>
          <w:sz w:val="20"/>
          <w:szCs w:val="20"/>
        </w:rPr>
        <w:t xml:space="preserve"> Vitae </w:t>
      </w:r>
      <w:r w:rsidRPr="00906D27">
        <w:rPr>
          <w:sz w:val="20"/>
          <w:szCs w:val="20"/>
        </w:rPr>
        <w:lastRenderedPageBreak/>
        <w:t>Normalizado de I+D+i: Objeto y naturaleza. Definiciones. Características y requisitos para formar un Grupo de Investigación. Inscripción de un nuevo Grupo. Inscripción, Altas y Bajas de integrantes de un Grupo de Investigación. Inscripción en el catálogo. Modificaciones de los Grupos de Investigación catalogados. Cambio de coordinador del Grupo. Descatalogación de los Grupos de Investigación.</w:t>
      </w:r>
    </w:p>
    <w:p w14:paraId="56B6795E" w14:textId="77777777" w:rsidR="00D84ECD" w:rsidRPr="00906D27" w:rsidRDefault="00D84ECD" w:rsidP="00D84ECD">
      <w:pPr>
        <w:ind w:left="720"/>
        <w:jc w:val="both"/>
        <w:rPr>
          <w:i/>
          <w:sz w:val="20"/>
          <w:szCs w:val="20"/>
        </w:rPr>
      </w:pPr>
    </w:p>
    <w:p w14:paraId="315AFFD0" w14:textId="77777777" w:rsidR="00D84ECD" w:rsidRPr="00E31AFA" w:rsidRDefault="00D84ECD" w:rsidP="00D84ECD">
      <w:pPr>
        <w:numPr>
          <w:ilvl w:val="0"/>
          <w:numId w:val="2"/>
        </w:numPr>
        <w:jc w:val="both"/>
        <w:rPr>
          <w:sz w:val="20"/>
          <w:szCs w:val="20"/>
          <w:highlight w:val="green"/>
        </w:rPr>
      </w:pPr>
      <w:r w:rsidRPr="00E31AFA">
        <w:rPr>
          <w:sz w:val="20"/>
          <w:szCs w:val="20"/>
          <w:highlight w:val="green"/>
        </w:rPr>
        <w:t xml:space="preserve">Decreto 56/2021, de 4 de junio, por el que se establecen las bases reguladoras de las ayudas para la realización de actividades de investigación y desarrollo tecnológico, de divulgación y de transferencia del conocimiento por los Grupos de Investigación de Extremadura (I): Características y cuantía de las ayudas. Actividades y gastos subvencionables. Obligaciones de los beneficiarios de una ayuda </w:t>
      </w:r>
      <w:proofErr w:type="spellStart"/>
      <w:r w:rsidRPr="00E31AFA">
        <w:rPr>
          <w:sz w:val="20"/>
          <w:szCs w:val="20"/>
          <w:highlight w:val="green"/>
        </w:rPr>
        <w:t>Feder</w:t>
      </w:r>
      <w:proofErr w:type="spellEnd"/>
      <w:r w:rsidRPr="00E31AFA">
        <w:rPr>
          <w:sz w:val="20"/>
          <w:szCs w:val="20"/>
          <w:highlight w:val="green"/>
        </w:rPr>
        <w:t>.</w:t>
      </w:r>
    </w:p>
    <w:p w14:paraId="6C5D88CE" w14:textId="16771321" w:rsidR="00E31AFA" w:rsidRPr="00F9703D" w:rsidRDefault="00E31AFA" w:rsidP="00E31AFA">
      <w:pPr>
        <w:pStyle w:val="Prrafodelista"/>
        <w:rPr>
          <w:color w:val="FF0000"/>
          <w:sz w:val="20"/>
          <w:szCs w:val="20"/>
        </w:rPr>
      </w:pPr>
      <w:r w:rsidRPr="00F9703D">
        <w:rPr>
          <w:color w:val="FF0000"/>
          <w:sz w:val="20"/>
          <w:szCs w:val="20"/>
        </w:rPr>
        <w:t xml:space="preserve">LA JUNTA TIENE PENDIENTE LA PUBLICACIÓN DE LAS </w:t>
      </w:r>
      <w:r w:rsidR="00F9703D" w:rsidRPr="00F9703D">
        <w:rPr>
          <w:color w:val="FF0000"/>
          <w:sz w:val="20"/>
          <w:szCs w:val="20"/>
        </w:rPr>
        <w:t xml:space="preserve">NUEVAS BASES REGULADORAS DE LOS GRUPOS </w:t>
      </w:r>
    </w:p>
    <w:p w14:paraId="53B89CA0" w14:textId="67A96DE4" w:rsidR="00E31AFA" w:rsidRPr="00E31AFA" w:rsidRDefault="00E31AFA" w:rsidP="00E31AFA">
      <w:pPr>
        <w:ind w:left="698"/>
        <w:jc w:val="both"/>
        <w:rPr>
          <w:sz w:val="20"/>
          <w:szCs w:val="20"/>
          <w:highlight w:val="green"/>
        </w:rPr>
      </w:pPr>
    </w:p>
    <w:p w14:paraId="0B14A149" w14:textId="77777777" w:rsidR="00D84ECD" w:rsidRPr="00E31AFA" w:rsidRDefault="00D84ECD" w:rsidP="00D84ECD">
      <w:pPr>
        <w:ind w:left="720"/>
        <w:jc w:val="both"/>
        <w:rPr>
          <w:sz w:val="20"/>
          <w:szCs w:val="20"/>
          <w:highlight w:val="green"/>
        </w:rPr>
      </w:pPr>
    </w:p>
    <w:p w14:paraId="317C3561" w14:textId="77777777" w:rsidR="00D84ECD" w:rsidRPr="00E31AFA" w:rsidRDefault="00D84ECD" w:rsidP="00D84ECD">
      <w:pPr>
        <w:numPr>
          <w:ilvl w:val="0"/>
          <w:numId w:val="2"/>
        </w:numPr>
        <w:jc w:val="both"/>
        <w:rPr>
          <w:sz w:val="20"/>
          <w:szCs w:val="20"/>
          <w:highlight w:val="green"/>
        </w:rPr>
      </w:pPr>
      <w:r w:rsidRPr="00E31AFA">
        <w:rPr>
          <w:sz w:val="20"/>
          <w:szCs w:val="20"/>
          <w:highlight w:val="green"/>
        </w:rPr>
        <w:t>Decreto 56/2021, de 4 de junio, por el que se establecen las bases reguladoras de las ayudas para la realización de actividades de investigación y desarrollo tecnológico, de divulgación y de transferencia del conocimiento por los Grupos de Investigación de Extremadura (II): Obligaciones del Grupo de Investigación. Contenido y plazo de justificación. Forma de la justificación. Régimen de compatibilidad con otras ayudas. Procedimiento de revocación y reintegro. Información y publicidad.</w:t>
      </w:r>
    </w:p>
    <w:p w14:paraId="05188523" w14:textId="77777777" w:rsidR="00D84ECD" w:rsidRDefault="00D84ECD" w:rsidP="00D84ECD">
      <w:pPr>
        <w:ind w:left="720"/>
        <w:jc w:val="both"/>
        <w:rPr>
          <w:sz w:val="20"/>
          <w:szCs w:val="20"/>
          <w:highlight w:val="green"/>
        </w:rPr>
      </w:pPr>
    </w:p>
    <w:p w14:paraId="2E0D0028" w14:textId="77777777" w:rsidR="00F9703D" w:rsidRPr="00F9703D" w:rsidRDefault="00F9703D" w:rsidP="00F9703D">
      <w:pPr>
        <w:pStyle w:val="Prrafodelista"/>
        <w:rPr>
          <w:color w:val="FF0000"/>
          <w:sz w:val="20"/>
          <w:szCs w:val="20"/>
        </w:rPr>
      </w:pPr>
      <w:r w:rsidRPr="00F9703D">
        <w:rPr>
          <w:color w:val="FF0000"/>
          <w:sz w:val="20"/>
          <w:szCs w:val="20"/>
        </w:rPr>
        <w:t xml:space="preserve">LA JUNTA TIENE PENDIENTE LA PUBLICACIÓN DE LAS NUEVAS BASES REGULADORAS DE LOS GRUPOS </w:t>
      </w:r>
    </w:p>
    <w:p w14:paraId="2E3E7B4D" w14:textId="77777777" w:rsidR="00F9703D" w:rsidRPr="00E31AFA" w:rsidRDefault="00F9703D" w:rsidP="00D84ECD">
      <w:pPr>
        <w:ind w:left="720"/>
        <w:jc w:val="both"/>
        <w:rPr>
          <w:sz w:val="20"/>
          <w:szCs w:val="20"/>
          <w:highlight w:val="green"/>
        </w:rPr>
      </w:pPr>
    </w:p>
    <w:p w14:paraId="18B83A5A" w14:textId="77777777" w:rsidR="00D84ECD" w:rsidRPr="00E31AFA" w:rsidRDefault="00D84ECD" w:rsidP="00D84ECD">
      <w:pPr>
        <w:numPr>
          <w:ilvl w:val="0"/>
          <w:numId w:val="2"/>
        </w:numPr>
        <w:jc w:val="both"/>
        <w:rPr>
          <w:sz w:val="20"/>
          <w:szCs w:val="20"/>
          <w:highlight w:val="green"/>
        </w:rPr>
      </w:pPr>
      <w:r w:rsidRPr="00E31AFA">
        <w:rPr>
          <w:sz w:val="20"/>
          <w:szCs w:val="20"/>
          <w:highlight w:val="green"/>
        </w:rPr>
        <w:t>Decreto 68/2016, de 31 de mayo, por el que se establecen las bases reguladoras destinadas a la realización de proyectos de investigación en los Centros Públicos de I+D+i de la Comunidad Autónoma de Extremadura: Modalidades y Entidades Beneficiarias. Condiciones del equipo investigador. Gastos subvencionables. Cuantía de la ayuda y forma de pago. Justificación de la ayuda. Revocación y Reintegro de las ayudas.</w:t>
      </w:r>
    </w:p>
    <w:p w14:paraId="6EA34FBB" w14:textId="77777777" w:rsidR="00D84ECD" w:rsidRDefault="00D84ECD" w:rsidP="00D84ECD">
      <w:pPr>
        <w:pStyle w:val="Prrafodelista"/>
        <w:rPr>
          <w:sz w:val="20"/>
          <w:szCs w:val="20"/>
        </w:rPr>
      </w:pPr>
    </w:p>
    <w:p w14:paraId="4B20DFB4" w14:textId="0A162C8C" w:rsidR="00F9703D" w:rsidRPr="00F9703D" w:rsidRDefault="00F9703D" w:rsidP="00F9703D">
      <w:pPr>
        <w:pStyle w:val="Prrafodelista"/>
        <w:rPr>
          <w:color w:val="FF0000"/>
          <w:sz w:val="20"/>
          <w:szCs w:val="20"/>
        </w:rPr>
      </w:pPr>
      <w:r w:rsidRPr="00F9703D">
        <w:rPr>
          <w:color w:val="FF0000"/>
          <w:sz w:val="20"/>
          <w:szCs w:val="20"/>
        </w:rPr>
        <w:t xml:space="preserve">LA JUNTA TIENE PENDIENTE LA PUBLICACIÓN DE LAS NUEVAS BASES REGULADORAS DE LOS </w:t>
      </w:r>
      <w:r>
        <w:rPr>
          <w:color w:val="FF0000"/>
          <w:sz w:val="20"/>
          <w:szCs w:val="20"/>
        </w:rPr>
        <w:t>PROYECTOS</w:t>
      </w:r>
    </w:p>
    <w:p w14:paraId="7F57172C" w14:textId="77777777" w:rsidR="00F9703D" w:rsidRPr="00906D27" w:rsidRDefault="00F9703D" w:rsidP="00D84ECD">
      <w:pPr>
        <w:pStyle w:val="Prrafodelista"/>
        <w:rPr>
          <w:sz w:val="20"/>
          <w:szCs w:val="20"/>
        </w:rPr>
      </w:pPr>
    </w:p>
    <w:p w14:paraId="0A36AC40" w14:textId="77777777" w:rsidR="00D84ECD" w:rsidRPr="00906D27" w:rsidRDefault="00D84ECD" w:rsidP="00D84ECD">
      <w:pPr>
        <w:tabs>
          <w:tab w:val="left" w:pos="0"/>
        </w:tabs>
        <w:jc w:val="both"/>
        <w:rPr>
          <w:b/>
          <w:sz w:val="20"/>
          <w:szCs w:val="20"/>
        </w:rPr>
      </w:pPr>
      <w:r w:rsidRPr="00906D27">
        <w:rPr>
          <w:b/>
          <w:sz w:val="20"/>
          <w:szCs w:val="20"/>
        </w:rPr>
        <w:t>Bloque III. Gestión de Programas Internacionales</w:t>
      </w:r>
    </w:p>
    <w:p w14:paraId="6E7ADBB4" w14:textId="77777777" w:rsidR="00D84ECD" w:rsidRDefault="00D84ECD" w:rsidP="00D84ECD">
      <w:pPr>
        <w:ind w:left="720"/>
        <w:jc w:val="both"/>
        <w:rPr>
          <w:sz w:val="20"/>
          <w:szCs w:val="20"/>
        </w:rPr>
      </w:pPr>
    </w:p>
    <w:p w14:paraId="64EC9E95" w14:textId="4CB3326A" w:rsidR="00B74085" w:rsidRPr="00B74085" w:rsidRDefault="00B74085" w:rsidP="00B74085">
      <w:pPr>
        <w:numPr>
          <w:ilvl w:val="0"/>
          <w:numId w:val="2"/>
        </w:numPr>
        <w:jc w:val="both"/>
        <w:rPr>
          <w:sz w:val="20"/>
          <w:szCs w:val="20"/>
        </w:rPr>
      </w:pPr>
      <w:r w:rsidRPr="00B74085">
        <w:rPr>
          <w:sz w:val="20"/>
          <w:szCs w:val="20"/>
        </w:rPr>
        <w:t xml:space="preserve">Programa de Cooperación </w:t>
      </w:r>
      <w:proofErr w:type="spellStart"/>
      <w:r w:rsidRPr="00B74085">
        <w:rPr>
          <w:sz w:val="20"/>
          <w:szCs w:val="20"/>
        </w:rPr>
        <w:t>Interreg</w:t>
      </w:r>
      <w:proofErr w:type="spellEnd"/>
      <w:r w:rsidRPr="00B74085">
        <w:rPr>
          <w:sz w:val="20"/>
          <w:szCs w:val="20"/>
        </w:rPr>
        <w:t xml:space="preserve"> V A España-Portugal 2021-2027. Normas de </w:t>
      </w:r>
      <w:proofErr w:type="spellStart"/>
      <w:r w:rsidRPr="00B74085">
        <w:rPr>
          <w:sz w:val="20"/>
          <w:szCs w:val="20"/>
        </w:rPr>
        <w:t>Subvencionalidad</w:t>
      </w:r>
      <w:proofErr w:type="spellEnd"/>
      <w:r w:rsidRPr="00B74085">
        <w:rPr>
          <w:sz w:val="20"/>
          <w:szCs w:val="20"/>
        </w:rPr>
        <w:t xml:space="preserve"> de Gastos. Fichas 1 y 2: Gastos de Personal y Gastos de Oficina y Administrativos.</w:t>
      </w:r>
    </w:p>
    <w:p w14:paraId="648CA32D" w14:textId="3D6CDBAC" w:rsidR="00B74085" w:rsidRPr="00B74085" w:rsidRDefault="00B74085" w:rsidP="00B74085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B74085">
        <w:rPr>
          <w:sz w:val="20"/>
          <w:szCs w:val="20"/>
        </w:rPr>
        <w:t>rograma</w:t>
      </w:r>
      <w:proofErr w:type="spellEnd"/>
      <w:r w:rsidRPr="00B74085">
        <w:rPr>
          <w:sz w:val="20"/>
          <w:szCs w:val="20"/>
        </w:rPr>
        <w:t xml:space="preserve"> de Cooperación </w:t>
      </w:r>
      <w:proofErr w:type="spellStart"/>
      <w:r w:rsidRPr="00B74085">
        <w:rPr>
          <w:sz w:val="20"/>
          <w:szCs w:val="20"/>
        </w:rPr>
        <w:t>Interreg</w:t>
      </w:r>
      <w:proofErr w:type="spellEnd"/>
      <w:r w:rsidRPr="00B74085">
        <w:rPr>
          <w:sz w:val="20"/>
          <w:szCs w:val="20"/>
        </w:rPr>
        <w:t xml:space="preserve"> V A España-Portugal 2021-2027. Normas de </w:t>
      </w:r>
      <w:proofErr w:type="spellStart"/>
      <w:r w:rsidRPr="00B74085">
        <w:rPr>
          <w:sz w:val="20"/>
          <w:szCs w:val="20"/>
        </w:rPr>
        <w:t>Subvencionalidad</w:t>
      </w:r>
      <w:proofErr w:type="spellEnd"/>
      <w:r w:rsidRPr="00B74085">
        <w:rPr>
          <w:sz w:val="20"/>
          <w:szCs w:val="20"/>
        </w:rPr>
        <w:t xml:space="preserve"> de Gastos. Ficha 3: Gastos de Viaje y Alojamiento. Ficha 4: Gastos de Servicios y Asesoramiento Externos.</w:t>
      </w:r>
    </w:p>
    <w:p w14:paraId="025CE884" w14:textId="39C1E979" w:rsidR="00B74085" w:rsidRPr="00B74085" w:rsidRDefault="00B74085" w:rsidP="00B74085">
      <w:pPr>
        <w:numPr>
          <w:ilvl w:val="0"/>
          <w:numId w:val="2"/>
        </w:numPr>
        <w:jc w:val="both"/>
        <w:rPr>
          <w:sz w:val="20"/>
          <w:szCs w:val="20"/>
        </w:rPr>
      </w:pPr>
      <w:r w:rsidRPr="00B74085">
        <w:rPr>
          <w:sz w:val="20"/>
          <w:szCs w:val="20"/>
        </w:rPr>
        <w:t xml:space="preserve">Programa de Cooperación </w:t>
      </w:r>
      <w:proofErr w:type="spellStart"/>
      <w:r w:rsidRPr="00B74085">
        <w:rPr>
          <w:sz w:val="20"/>
          <w:szCs w:val="20"/>
        </w:rPr>
        <w:t>Interreg</w:t>
      </w:r>
      <w:proofErr w:type="spellEnd"/>
      <w:r w:rsidRPr="00B74085">
        <w:rPr>
          <w:sz w:val="20"/>
          <w:szCs w:val="20"/>
        </w:rPr>
        <w:t xml:space="preserve"> V A España-Portugal 2021-2027. Normas de </w:t>
      </w:r>
      <w:proofErr w:type="spellStart"/>
      <w:r w:rsidRPr="00B74085">
        <w:rPr>
          <w:sz w:val="20"/>
          <w:szCs w:val="20"/>
        </w:rPr>
        <w:t>Subvencionalidad</w:t>
      </w:r>
      <w:proofErr w:type="spellEnd"/>
      <w:r w:rsidRPr="00B74085">
        <w:rPr>
          <w:sz w:val="20"/>
          <w:szCs w:val="20"/>
        </w:rPr>
        <w:t xml:space="preserve"> de Gastos. Ficha 5: Gastos de Equipamiento. Ficha 6: Infraestructuras.</w:t>
      </w:r>
    </w:p>
    <w:p w14:paraId="4150CA66" w14:textId="338B7F2F" w:rsidR="00B74085" w:rsidRPr="00B74085" w:rsidRDefault="00B74085" w:rsidP="00B74085">
      <w:pPr>
        <w:numPr>
          <w:ilvl w:val="0"/>
          <w:numId w:val="2"/>
        </w:numPr>
        <w:jc w:val="both"/>
        <w:rPr>
          <w:sz w:val="20"/>
          <w:szCs w:val="20"/>
        </w:rPr>
      </w:pPr>
      <w:r w:rsidRPr="00B74085">
        <w:rPr>
          <w:sz w:val="20"/>
          <w:szCs w:val="20"/>
        </w:rPr>
        <w:t xml:space="preserve">Programa de Cooperación </w:t>
      </w:r>
      <w:proofErr w:type="spellStart"/>
      <w:r w:rsidRPr="00B74085">
        <w:rPr>
          <w:sz w:val="20"/>
          <w:szCs w:val="20"/>
        </w:rPr>
        <w:t>Interreg</w:t>
      </w:r>
      <w:proofErr w:type="spellEnd"/>
      <w:r w:rsidRPr="00B74085">
        <w:rPr>
          <w:sz w:val="20"/>
          <w:szCs w:val="20"/>
        </w:rPr>
        <w:t xml:space="preserve"> V A España-Portugal 2021-2027. Normas de </w:t>
      </w:r>
      <w:proofErr w:type="spellStart"/>
      <w:r w:rsidRPr="00B74085">
        <w:rPr>
          <w:sz w:val="20"/>
          <w:szCs w:val="20"/>
        </w:rPr>
        <w:t>Subvencionalidad</w:t>
      </w:r>
      <w:proofErr w:type="spellEnd"/>
      <w:r w:rsidRPr="00B74085">
        <w:rPr>
          <w:sz w:val="20"/>
          <w:szCs w:val="20"/>
        </w:rPr>
        <w:t xml:space="preserve"> de Gastos. Ficha 7: Gastos Visibilidad, Transparencia y Comunicación (VTC)</w:t>
      </w:r>
    </w:p>
    <w:p w14:paraId="5371789B" w14:textId="04859F41" w:rsidR="00B74085" w:rsidRPr="00B74085" w:rsidRDefault="00B74085" w:rsidP="00B74085">
      <w:pPr>
        <w:numPr>
          <w:ilvl w:val="0"/>
          <w:numId w:val="2"/>
        </w:numPr>
        <w:jc w:val="both"/>
        <w:rPr>
          <w:sz w:val="20"/>
          <w:szCs w:val="20"/>
        </w:rPr>
      </w:pPr>
      <w:r w:rsidRPr="00B74085">
        <w:rPr>
          <w:sz w:val="20"/>
          <w:szCs w:val="20"/>
        </w:rPr>
        <w:t xml:space="preserve">Comisión Europea: </w:t>
      </w:r>
      <w:proofErr w:type="spellStart"/>
      <w:r w:rsidRPr="00B74085">
        <w:rPr>
          <w:sz w:val="20"/>
          <w:szCs w:val="20"/>
        </w:rPr>
        <w:t>Europe</w:t>
      </w:r>
      <w:proofErr w:type="spellEnd"/>
      <w:r w:rsidRPr="00B74085">
        <w:rPr>
          <w:sz w:val="20"/>
          <w:szCs w:val="20"/>
        </w:rPr>
        <w:t xml:space="preserve"> Direct (2021-2025). Guía del Solicitante</w:t>
      </w:r>
    </w:p>
    <w:p w14:paraId="5275DCD0" w14:textId="3EBD2BD7" w:rsidR="00D84ECD" w:rsidRPr="00E836C2" w:rsidRDefault="00D84ECD" w:rsidP="00EE2B75">
      <w:pPr>
        <w:pStyle w:val="Textoindependiente"/>
        <w:rPr>
          <w:b/>
          <w:lang w:val="es-ES"/>
        </w:rPr>
      </w:pPr>
    </w:p>
    <w:p w14:paraId="42AA6691" w14:textId="77777777" w:rsidR="00FB6F71" w:rsidRPr="00906D27" w:rsidRDefault="00FB6F71">
      <w:pPr>
        <w:rPr>
          <w:lang w:val="es-ES"/>
        </w:rPr>
      </w:pPr>
    </w:p>
    <w:sectPr w:rsidR="00FB6F71" w:rsidRPr="00906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F9B"/>
    <w:multiLevelType w:val="hybridMultilevel"/>
    <w:tmpl w:val="E906082A"/>
    <w:lvl w:ilvl="0" w:tplc="7712480A">
      <w:start w:val="1"/>
      <w:numFmt w:val="decimal"/>
      <w:lvlText w:val="%1."/>
      <w:lvlJc w:val="left"/>
      <w:pPr>
        <w:ind w:left="502" w:hanging="360"/>
      </w:pPr>
      <w:rPr>
        <w:rFonts w:ascii="Verdana" w:eastAsia="Verdana" w:hAnsi="Verdana" w:cs="Verdana" w:hint="default"/>
        <w:b/>
        <w:bCs w:val="0"/>
        <w:i w:val="0"/>
        <w:iCs/>
        <w:strike w:val="0"/>
        <w:w w:val="99"/>
        <w:sz w:val="20"/>
        <w:szCs w:val="20"/>
      </w:rPr>
    </w:lvl>
    <w:lvl w:ilvl="1" w:tplc="3C1AFDE0">
      <w:numFmt w:val="bullet"/>
      <w:lvlText w:val="•"/>
      <w:lvlJc w:val="left"/>
      <w:pPr>
        <w:ind w:left="1494" w:hanging="360"/>
      </w:pPr>
    </w:lvl>
    <w:lvl w:ilvl="2" w:tplc="105C042C">
      <w:numFmt w:val="bullet"/>
      <w:lvlText w:val="•"/>
      <w:lvlJc w:val="left"/>
      <w:pPr>
        <w:ind w:left="2289" w:hanging="360"/>
      </w:pPr>
    </w:lvl>
    <w:lvl w:ilvl="3" w:tplc="6B60C0F8">
      <w:numFmt w:val="bullet"/>
      <w:lvlText w:val="•"/>
      <w:lvlJc w:val="left"/>
      <w:pPr>
        <w:ind w:left="3083" w:hanging="360"/>
      </w:pPr>
    </w:lvl>
    <w:lvl w:ilvl="4" w:tplc="903E06EE">
      <w:numFmt w:val="bullet"/>
      <w:lvlText w:val="•"/>
      <w:lvlJc w:val="left"/>
      <w:pPr>
        <w:ind w:left="3878" w:hanging="360"/>
      </w:pPr>
    </w:lvl>
    <w:lvl w:ilvl="5" w:tplc="54DCFFBA">
      <w:numFmt w:val="bullet"/>
      <w:lvlText w:val="•"/>
      <w:lvlJc w:val="left"/>
      <w:pPr>
        <w:ind w:left="4673" w:hanging="360"/>
      </w:pPr>
    </w:lvl>
    <w:lvl w:ilvl="6" w:tplc="47480720">
      <w:numFmt w:val="bullet"/>
      <w:lvlText w:val="•"/>
      <w:lvlJc w:val="left"/>
      <w:pPr>
        <w:ind w:left="5467" w:hanging="360"/>
      </w:pPr>
    </w:lvl>
    <w:lvl w:ilvl="7" w:tplc="9BE8808E">
      <w:numFmt w:val="bullet"/>
      <w:lvlText w:val="•"/>
      <w:lvlJc w:val="left"/>
      <w:pPr>
        <w:ind w:left="6262" w:hanging="360"/>
      </w:pPr>
    </w:lvl>
    <w:lvl w:ilvl="8" w:tplc="54F83DFC">
      <w:numFmt w:val="bullet"/>
      <w:lvlText w:val="•"/>
      <w:lvlJc w:val="left"/>
      <w:pPr>
        <w:ind w:left="7057" w:hanging="360"/>
      </w:pPr>
    </w:lvl>
  </w:abstractNum>
  <w:abstractNum w:abstractNumId="1" w15:restartNumberingAfterBreak="0">
    <w:nsid w:val="33C82BE8"/>
    <w:multiLevelType w:val="hybridMultilevel"/>
    <w:tmpl w:val="3314FC24"/>
    <w:lvl w:ilvl="0" w:tplc="86C0EFE6">
      <w:start w:val="1"/>
      <w:numFmt w:val="upperLetter"/>
      <w:lvlText w:val="%1)"/>
      <w:lvlJc w:val="left"/>
      <w:pPr>
        <w:ind w:left="669" w:hanging="332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</w:rPr>
    </w:lvl>
    <w:lvl w:ilvl="1" w:tplc="E540773E">
      <w:numFmt w:val="bullet"/>
      <w:lvlText w:val="•"/>
      <w:lvlJc w:val="left"/>
      <w:pPr>
        <w:ind w:left="1458" w:hanging="332"/>
      </w:pPr>
    </w:lvl>
    <w:lvl w:ilvl="2" w:tplc="10421C8A">
      <w:numFmt w:val="bullet"/>
      <w:lvlText w:val="•"/>
      <w:lvlJc w:val="left"/>
      <w:pPr>
        <w:ind w:left="2257" w:hanging="332"/>
      </w:pPr>
    </w:lvl>
    <w:lvl w:ilvl="3" w:tplc="24FA12D0">
      <w:numFmt w:val="bullet"/>
      <w:lvlText w:val="•"/>
      <w:lvlJc w:val="left"/>
      <w:pPr>
        <w:ind w:left="3055" w:hanging="332"/>
      </w:pPr>
    </w:lvl>
    <w:lvl w:ilvl="4" w:tplc="1242DC98">
      <w:numFmt w:val="bullet"/>
      <w:lvlText w:val="•"/>
      <w:lvlJc w:val="left"/>
      <w:pPr>
        <w:ind w:left="3854" w:hanging="332"/>
      </w:pPr>
    </w:lvl>
    <w:lvl w:ilvl="5" w:tplc="30407A1E">
      <w:numFmt w:val="bullet"/>
      <w:lvlText w:val="•"/>
      <w:lvlJc w:val="left"/>
      <w:pPr>
        <w:ind w:left="4653" w:hanging="332"/>
      </w:pPr>
    </w:lvl>
    <w:lvl w:ilvl="6" w:tplc="3B86FE08">
      <w:numFmt w:val="bullet"/>
      <w:lvlText w:val="•"/>
      <w:lvlJc w:val="left"/>
      <w:pPr>
        <w:ind w:left="5451" w:hanging="332"/>
      </w:pPr>
    </w:lvl>
    <w:lvl w:ilvl="7" w:tplc="02525BEC">
      <w:numFmt w:val="bullet"/>
      <w:lvlText w:val="•"/>
      <w:lvlJc w:val="left"/>
      <w:pPr>
        <w:ind w:left="6250" w:hanging="332"/>
      </w:pPr>
    </w:lvl>
    <w:lvl w:ilvl="8" w:tplc="C6089AF0">
      <w:numFmt w:val="bullet"/>
      <w:lvlText w:val="•"/>
      <w:lvlJc w:val="left"/>
      <w:pPr>
        <w:ind w:left="7049" w:hanging="332"/>
      </w:pPr>
    </w:lvl>
  </w:abstractNum>
  <w:num w:numId="1" w16cid:durableId="8704619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765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CD"/>
    <w:rsid w:val="000001D3"/>
    <w:rsid w:val="000028C2"/>
    <w:rsid w:val="00045B83"/>
    <w:rsid w:val="00080526"/>
    <w:rsid w:val="00095C0F"/>
    <w:rsid w:val="001F04D2"/>
    <w:rsid w:val="00245FB5"/>
    <w:rsid w:val="00285500"/>
    <w:rsid w:val="00395FCC"/>
    <w:rsid w:val="003A28B1"/>
    <w:rsid w:val="003C426B"/>
    <w:rsid w:val="004772B5"/>
    <w:rsid w:val="004960B5"/>
    <w:rsid w:val="004A5F01"/>
    <w:rsid w:val="005328EA"/>
    <w:rsid w:val="005A36C8"/>
    <w:rsid w:val="005E4DE1"/>
    <w:rsid w:val="00666AFD"/>
    <w:rsid w:val="00672C90"/>
    <w:rsid w:val="0084224E"/>
    <w:rsid w:val="00906D27"/>
    <w:rsid w:val="00936F0F"/>
    <w:rsid w:val="00AA2401"/>
    <w:rsid w:val="00AC011A"/>
    <w:rsid w:val="00B74085"/>
    <w:rsid w:val="00C37754"/>
    <w:rsid w:val="00C70382"/>
    <w:rsid w:val="00CA25DD"/>
    <w:rsid w:val="00D84ECD"/>
    <w:rsid w:val="00DB113D"/>
    <w:rsid w:val="00E31AFA"/>
    <w:rsid w:val="00E5593B"/>
    <w:rsid w:val="00E836C2"/>
    <w:rsid w:val="00EA1146"/>
    <w:rsid w:val="00EE2B75"/>
    <w:rsid w:val="00EE41E2"/>
    <w:rsid w:val="00F24AB1"/>
    <w:rsid w:val="00F9703D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0909"/>
  <w15:chartTrackingRefBased/>
  <w15:docId w15:val="{DB1F94F0-6D0C-4FC2-B669-3075E636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4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4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E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E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E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E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E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E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4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4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4E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4E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E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ECD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D84EC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4ECD"/>
    <w:rPr>
      <w:rFonts w:ascii="Verdana" w:eastAsia="Verdana" w:hAnsi="Verdana" w:cs="Verdana"/>
      <w:kern w:val="0"/>
      <w:sz w:val="20"/>
      <w:szCs w:val="20"/>
      <w:lang w:val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40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Panduro López</dc:creator>
  <cp:keywords/>
  <dc:description/>
  <cp:lastModifiedBy>María de Guía Córdoba Ramos</cp:lastModifiedBy>
  <cp:revision>2</cp:revision>
  <cp:lastPrinted>2024-04-04T17:11:00Z</cp:lastPrinted>
  <dcterms:created xsi:type="dcterms:W3CDTF">2024-04-04T17:12:00Z</dcterms:created>
  <dcterms:modified xsi:type="dcterms:W3CDTF">2024-04-04T17:12:00Z</dcterms:modified>
</cp:coreProperties>
</file>